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7F50" w14:textId="57097C9F" w:rsidR="005918EB" w:rsidRPr="003B1E0E" w:rsidRDefault="00BB7D2C" w:rsidP="00A93A20">
      <w:pPr>
        <w:ind w:left="1027" w:right="-46" w:hanging="1019"/>
        <w:jc w:val="center"/>
        <w:rPr>
          <w:rFonts w:ascii="Arial" w:eastAsia="Arial" w:hAnsi="Arial" w:cs="Arial"/>
          <w:b/>
          <w:bCs/>
        </w:rPr>
      </w:pPr>
      <w:r w:rsidRPr="003B1E0E">
        <w:rPr>
          <w:rFonts w:ascii="Arial" w:eastAsia="Arial" w:hAnsi="Arial" w:cs="Arial"/>
          <w:b/>
          <w:bCs/>
        </w:rPr>
        <w:t>West Wilts Child Contact Centre</w:t>
      </w:r>
    </w:p>
    <w:p w14:paraId="21FEBCD3" w14:textId="449EB50E" w:rsidR="00BB7D2C" w:rsidRPr="003B1E0E" w:rsidRDefault="00BB7D2C" w:rsidP="00AE014D">
      <w:pPr>
        <w:ind w:left="1027" w:right="780" w:hanging="1019"/>
        <w:jc w:val="center"/>
        <w:rPr>
          <w:rFonts w:ascii="Arial" w:eastAsia="Arial" w:hAnsi="Arial" w:cs="Arial"/>
          <w:b/>
          <w:bCs/>
        </w:rPr>
      </w:pPr>
    </w:p>
    <w:p w14:paraId="0FFDFCC5" w14:textId="287E07AE" w:rsidR="003B1E0E" w:rsidRPr="003B1E0E" w:rsidRDefault="00BB7D2C" w:rsidP="00A93A20">
      <w:pPr>
        <w:ind w:left="1027" w:right="-46" w:hanging="1019"/>
        <w:jc w:val="center"/>
        <w:rPr>
          <w:rFonts w:ascii="Arial" w:eastAsia="Arial" w:hAnsi="Arial" w:cs="Arial"/>
          <w:b/>
          <w:bCs/>
        </w:rPr>
      </w:pPr>
      <w:r w:rsidRPr="003B1E0E">
        <w:rPr>
          <w:rFonts w:ascii="Arial" w:eastAsia="Arial" w:hAnsi="Arial" w:cs="Arial"/>
          <w:b/>
          <w:bCs/>
        </w:rPr>
        <w:t>Disclosure and Barring Se</w:t>
      </w:r>
      <w:r w:rsidR="00C55020" w:rsidRPr="003B1E0E">
        <w:rPr>
          <w:rFonts w:ascii="Arial" w:eastAsia="Arial" w:hAnsi="Arial" w:cs="Arial"/>
          <w:b/>
          <w:bCs/>
        </w:rPr>
        <w:t>r</w:t>
      </w:r>
      <w:r w:rsidRPr="003B1E0E">
        <w:rPr>
          <w:rFonts w:ascii="Arial" w:eastAsia="Arial" w:hAnsi="Arial" w:cs="Arial"/>
          <w:b/>
          <w:bCs/>
        </w:rPr>
        <w:t>vice Po</w:t>
      </w:r>
      <w:r w:rsidR="00C55020" w:rsidRPr="003B1E0E">
        <w:rPr>
          <w:rFonts w:ascii="Arial" w:eastAsia="Arial" w:hAnsi="Arial" w:cs="Arial"/>
          <w:b/>
          <w:bCs/>
        </w:rPr>
        <w:t>l</w:t>
      </w:r>
      <w:r w:rsidRPr="003B1E0E">
        <w:rPr>
          <w:rFonts w:ascii="Arial" w:eastAsia="Arial" w:hAnsi="Arial" w:cs="Arial"/>
          <w:b/>
          <w:bCs/>
        </w:rPr>
        <w:t>icy</w:t>
      </w:r>
    </w:p>
    <w:p w14:paraId="1794C217" w14:textId="5FC47D0B" w:rsidR="00BB7D2C" w:rsidRPr="003B1E0E" w:rsidRDefault="00BB7D2C" w:rsidP="00A93A20">
      <w:pPr>
        <w:ind w:left="1027" w:right="-46" w:hanging="1019"/>
        <w:jc w:val="center"/>
        <w:rPr>
          <w:rFonts w:ascii="Arial" w:eastAsia="Arial" w:hAnsi="Arial" w:cs="Arial"/>
          <w:b/>
          <w:bCs/>
        </w:rPr>
      </w:pPr>
      <w:r w:rsidRPr="003B1E0E">
        <w:rPr>
          <w:rFonts w:ascii="Arial" w:eastAsia="Arial" w:hAnsi="Arial" w:cs="Arial"/>
          <w:b/>
          <w:bCs/>
        </w:rPr>
        <w:t>for Vo</w:t>
      </w:r>
      <w:r w:rsidR="00C55020" w:rsidRPr="003B1E0E">
        <w:rPr>
          <w:rFonts w:ascii="Arial" w:eastAsia="Arial" w:hAnsi="Arial" w:cs="Arial"/>
          <w:b/>
          <w:bCs/>
        </w:rPr>
        <w:t>lu</w:t>
      </w:r>
      <w:r w:rsidRPr="003B1E0E">
        <w:rPr>
          <w:rFonts w:ascii="Arial" w:eastAsia="Arial" w:hAnsi="Arial" w:cs="Arial"/>
          <w:b/>
          <w:bCs/>
        </w:rPr>
        <w:t>nteers and Management Committee</w:t>
      </w:r>
    </w:p>
    <w:p w14:paraId="71674AA4" w14:textId="77777777" w:rsidR="005918EB" w:rsidRDefault="005918EB" w:rsidP="003B1E0E">
      <w:pPr>
        <w:rPr>
          <w:sz w:val="20"/>
          <w:szCs w:val="20"/>
        </w:rPr>
      </w:pPr>
    </w:p>
    <w:p w14:paraId="7516176D" w14:textId="77777777" w:rsidR="005320B1" w:rsidRDefault="005320B1" w:rsidP="003B1E0E">
      <w:pPr>
        <w:rPr>
          <w:sz w:val="20"/>
          <w:szCs w:val="20"/>
        </w:rPr>
      </w:pPr>
    </w:p>
    <w:p w14:paraId="6B8DADCD" w14:textId="065DE93B" w:rsidR="005320B1" w:rsidRDefault="005320B1" w:rsidP="00AE014D">
      <w:pPr>
        <w:numPr>
          <w:ilvl w:val="0"/>
          <w:numId w:val="1"/>
        </w:numPr>
        <w:ind w:left="709" w:hanging="709"/>
        <w:rPr>
          <w:rFonts w:ascii="Arial" w:eastAsia="Arial" w:hAnsi="Arial" w:cs="Arial"/>
          <w:b/>
          <w:bCs/>
          <w:sz w:val="24"/>
          <w:szCs w:val="24"/>
        </w:rPr>
      </w:pPr>
      <w:r>
        <w:rPr>
          <w:rFonts w:ascii="Arial" w:eastAsia="Arial" w:hAnsi="Arial" w:cs="Arial"/>
          <w:b/>
          <w:bCs/>
          <w:sz w:val="24"/>
          <w:szCs w:val="24"/>
        </w:rPr>
        <w:t>General Principles</w:t>
      </w:r>
    </w:p>
    <w:p w14:paraId="35517F65" w14:textId="77777777" w:rsidR="005320B1" w:rsidRDefault="005320B1" w:rsidP="003B1E0E">
      <w:pPr>
        <w:rPr>
          <w:sz w:val="20"/>
          <w:szCs w:val="20"/>
        </w:rPr>
      </w:pPr>
    </w:p>
    <w:p w14:paraId="61659941" w14:textId="71BEB58C" w:rsidR="005320B1" w:rsidRDefault="005320B1" w:rsidP="003B1E0E">
      <w:pPr>
        <w:tabs>
          <w:tab w:val="left" w:pos="687"/>
        </w:tabs>
        <w:ind w:left="707" w:right="200" w:hanging="707"/>
        <w:rPr>
          <w:sz w:val="20"/>
          <w:szCs w:val="20"/>
        </w:rPr>
      </w:pPr>
      <w:r>
        <w:rPr>
          <w:rFonts w:ascii="Arial" w:eastAsia="Arial" w:hAnsi="Arial" w:cs="Arial"/>
        </w:rPr>
        <w:t>1.1</w:t>
      </w:r>
      <w:r>
        <w:rPr>
          <w:sz w:val="20"/>
          <w:szCs w:val="20"/>
        </w:rPr>
        <w:tab/>
      </w:r>
      <w:r>
        <w:rPr>
          <w:rFonts w:ascii="Arial" w:eastAsia="Arial" w:hAnsi="Arial" w:cs="Arial"/>
        </w:rPr>
        <w:t xml:space="preserve">As part of the National Standards of the National Association of Child Contact Centres (NACCC) of which </w:t>
      </w:r>
      <w:r w:rsidR="00BB7D2C">
        <w:rPr>
          <w:rFonts w:ascii="Arial" w:eastAsia="Arial" w:hAnsi="Arial" w:cs="Arial"/>
        </w:rPr>
        <w:t xml:space="preserve">West </w:t>
      </w:r>
      <w:r w:rsidR="00C55020">
        <w:rPr>
          <w:rFonts w:ascii="Arial" w:eastAsia="Arial" w:hAnsi="Arial" w:cs="Arial"/>
        </w:rPr>
        <w:t>Wilts Child Contact Centre</w:t>
      </w:r>
      <w:r>
        <w:rPr>
          <w:rFonts w:ascii="Arial" w:eastAsia="Arial" w:hAnsi="Arial" w:cs="Arial"/>
        </w:rPr>
        <w:t xml:space="preserve"> is a member it</w:t>
      </w:r>
      <w:r w:rsidR="00C55020">
        <w:rPr>
          <w:sz w:val="20"/>
          <w:szCs w:val="20"/>
        </w:rPr>
        <w:t xml:space="preserve"> </w:t>
      </w:r>
      <w:r>
        <w:rPr>
          <w:rFonts w:ascii="Arial" w:eastAsia="Arial" w:hAnsi="Arial" w:cs="Arial"/>
        </w:rPr>
        <w:t xml:space="preserve">is required that all new volunteers </w:t>
      </w:r>
      <w:r w:rsidR="00C55020">
        <w:rPr>
          <w:rFonts w:ascii="Arial" w:eastAsia="Arial" w:hAnsi="Arial" w:cs="Arial"/>
        </w:rPr>
        <w:t xml:space="preserve">and committee members </w:t>
      </w:r>
      <w:r>
        <w:rPr>
          <w:rFonts w:ascii="Arial" w:eastAsia="Arial" w:hAnsi="Arial" w:cs="Arial"/>
        </w:rPr>
        <w:t>will have a disclosure through the Disclosure &amp; Barring (DBS). For the purpose of the policy ‘applicant’ will refer to either, volunteer or management committee.</w:t>
      </w:r>
    </w:p>
    <w:p w14:paraId="11B53466" w14:textId="77777777" w:rsidR="005320B1" w:rsidRDefault="005320B1" w:rsidP="003B1E0E">
      <w:pPr>
        <w:rPr>
          <w:sz w:val="20"/>
          <w:szCs w:val="20"/>
        </w:rPr>
      </w:pPr>
    </w:p>
    <w:p w14:paraId="6FA7E21A" w14:textId="77777777" w:rsidR="005320B1" w:rsidRPr="00C55020" w:rsidRDefault="005320B1" w:rsidP="003B1E0E">
      <w:pPr>
        <w:pStyle w:val="Heading1"/>
        <w:spacing w:before="0"/>
        <w:ind w:left="707" w:hanging="707"/>
        <w:rPr>
          <w:color w:val="auto"/>
        </w:rPr>
      </w:pPr>
      <w:r w:rsidRPr="00C55020">
        <w:rPr>
          <w:color w:val="auto"/>
        </w:rPr>
        <w:t>1.2</w:t>
      </w:r>
      <w:r w:rsidRPr="00C55020">
        <w:rPr>
          <w:color w:val="auto"/>
        </w:rPr>
        <w:tab/>
        <w:t>All staff/volunteers/management committee will have a DBS disclosure undertaken every 3 years.</w:t>
      </w:r>
    </w:p>
    <w:p w14:paraId="1699F05D" w14:textId="77777777" w:rsidR="005320B1" w:rsidRPr="00C55020" w:rsidRDefault="005320B1" w:rsidP="003B1E0E">
      <w:pPr>
        <w:rPr>
          <w:sz w:val="20"/>
          <w:szCs w:val="20"/>
        </w:rPr>
      </w:pPr>
    </w:p>
    <w:p w14:paraId="2AA6EF70" w14:textId="2F1217C5" w:rsidR="005320B1" w:rsidRDefault="005320B1" w:rsidP="003B1E0E">
      <w:pPr>
        <w:tabs>
          <w:tab w:val="left" w:pos="687"/>
        </w:tabs>
        <w:ind w:left="679" w:hanging="672"/>
        <w:rPr>
          <w:sz w:val="20"/>
          <w:szCs w:val="20"/>
        </w:rPr>
      </w:pPr>
      <w:r>
        <w:rPr>
          <w:rFonts w:ascii="Arial" w:eastAsia="Arial" w:hAnsi="Arial" w:cs="Arial"/>
          <w:sz w:val="18"/>
          <w:szCs w:val="18"/>
        </w:rPr>
        <w:t>1.3</w:t>
      </w:r>
      <w:r>
        <w:rPr>
          <w:sz w:val="20"/>
          <w:szCs w:val="20"/>
        </w:rPr>
        <w:tab/>
      </w:r>
      <w:r>
        <w:rPr>
          <w:rFonts w:ascii="Arial" w:eastAsia="Arial" w:hAnsi="Arial" w:cs="Arial"/>
        </w:rPr>
        <w:t xml:space="preserve">NACCC is </w:t>
      </w:r>
      <w:r w:rsidR="00C55020">
        <w:rPr>
          <w:rFonts w:ascii="Arial" w:eastAsia="Arial" w:hAnsi="Arial" w:cs="Arial"/>
        </w:rPr>
        <w:t>the</w:t>
      </w:r>
      <w:r>
        <w:rPr>
          <w:rFonts w:ascii="Arial" w:eastAsia="Arial" w:hAnsi="Arial" w:cs="Arial"/>
        </w:rPr>
        <w:t xml:space="preserve"> registered umbrella body</w:t>
      </w:r>
      <w:r w:rsidR="00C55020">
        <w:rPr>
          <w:rFonts w:ascii="Arial" w:eastAsia="Arial" w:hAnsi="Arial" w:cs="Arial"/>
        </w:rPr>
        <w:t xml:space="preserve"> for</w:t>
      </w:r>
      <w:r>
        <w:rPr>
          <w:rFonts w:ascii="Arial" w:eastAsia="Arial" w:hAnsi="Arial" w:cs="Arial"/>
        </w:rPr>
        <w:t xml:space="preserve"> processing DBS disclosures for its Member Centres</w:t>
      </w:r>
      <w:r>
        <w:rPr>
          <w:rFonts w:ascii="Arial" w:eastAsia="Arial" w:hAnsi="Arial" w:cs="Arial"/>
          <w:sz w:val="18"/>
          <w:szCs w:val="18"/>
        </w:rPr>
        <w:t>.</w:t>
      </w:r>
    </w:p>
    <w:p w14:paraId="613C5262" w14:textId="77777777" w:rsidR="005320B1" w:rsidRDefault="005320B1" w:rsidP="003B1E0E">
      <w:pPr>
        <w:rPr>
          <w:sz w:val="20"/>
          <w:szCs w:val="20"/>
        </w:rPr>
      </w:pPr>
    </w:p>
    <w:p w14:paraId="62316A5E" w14:textId="3512D6E4" w:rsidR="005320B1" w:rsidRDefault="00AE014D" w:rsidP="00AE014D">
      <w:pPr>
        <w:rPr>
          <w:rFonts w:ascii="Arial" w:eastAsia="Arial" w:hAnsi="Arial" w:cs="Arial"/>
          <w:b/>
          <w:bCs/>
          <w:sz w:val="24"/>
          <w:szCs w:val="24"/>
        </w:rPr>
      </w:pPr>
      <w:r>
        <w:rPr>
          <w:rFonts w:ascii="Arial" w:eastAsia="Arial" w:hAnsi="Arial" w:cs="Arial"/>
          <w:b/>
          <w:bCs/>
          <w:sz w:val="24"/>
          <w:szCs w:val="24"/>
        </w:rPr>
        <w:t>2.</w:t>
      </w:r>
      <w:r>
        <w:rPr>
          <w:rFonts w:ascii="Arial" w:eastAsia="Arial" w:hAnsi="Arial" w:cs="Arial"/>
          <w:b/>
          <w:bCs/>
          <w:sz w:val="24"/>
          <w:szCs w:val="24"/>
        </w:rPr>
        <w:tab/>
      </w:r>
      <w:r w:rsidR="005320B1">
        <w:rPr>
          <w:rFonts w:ascii="Arial" w:eastAsia="Arial" w:hAnsi="Arial" w:cs="Arial"/>
          <w:b/>
          <w:bCs/>
          <w:sz w:val="24"/>
          <w:szCs w:val="24"/>
        </w:rPr>
        <w:t>Recruitment</w:t>
      </w:r>
    </w:p>
    <w:p w14:paraId="1CCA8027" w14:textId="77777777" w:rsidR="005320B1" w:rsidRDefault="005320B1" w:rsidP="003B1E0E">
      <w:pPr>
        <w:rPr>
          <w:sz w:val="20"/>
          <w:szCs w:val="20"/>
        </w:rPr>
      </w:pPr>
    </w:p>
    <w:p w14:paraId="1FA31024" w14:textId="684782C4" w:rsidR="005320B1" w:rsidRDefault="005320B1" w:rsidP="003B1E0E">
      <w:pPr>
        <w:tabs>
          <w:tab w:val="left" w:pos="687"/>
        </w:tabs>
        <w:ind w:left="707" w:right="260" w:hanging="707"/>
        <w:rPr>
          <w:sz w:val="20"/>
          <w:szCs w:val="20"/>
        </w:rPr>
      </w:pPr>
      <w:r>
        <w:rPr>
          <w:rFonts w:ascii="Arial" w:eastAsia="Arial" w:hAnsi="Arial" w:cs="Arial"/>
        </w:rPr>
        <w:t>2.1</w:t>
      </w:r>
      <w:r>
        <w:rPr>
          <w:sz w:val="20"/>
          <w:szCs w:val="20"/>
        </w:rPr>
        <w:tab/>
      </w:r>
      <w:r>
        <w:rPr>
          <w:rFonts w:ascii="Arial" w:eastAsia="Arial" w:hAnsi="Arial" w:cs="Arial"/>
        </w:rPr>
        <w:t>All advertisements for positions within this Child Contact Centre will contain the statement, ‘A DBS disclosure will be requested in the event of a successful application’.</w:t>
      </w:r>
    </w:p>
    <w:p w14:paraId="4DAF02DA" w14:textId="77777777" w:rsidR="005320B1" w:rsidRDefault="005320B1" w:rsidP="003B1E0E">
      <w:pPr>
        <w:rPr>
          <w:sz w:val="20"/>
          <w:szCs w:val="20"/>
        </w:rPr>
      </w:pPr>
    </w:p>
    <w:p w14:paraId="4E0D53DD" w14:textId="77777777" w:rsidR="005320B1" w:rsidRDefault="005320B1" w:rsidP="003B1E0E">
      <w:pPr>
        <w:tabs>
          <w:tab w:val="left" w:pos="687"/>
        </w:tabs>
        <w:ind w:left="707" w:right="460" w:hanging="707"/>
        <w:rPr>
          <w:sz w:val="20"/>
          <w:szCs w:val="20"/>
        </w:rPr>
      </w:pPr>
      <w:r>
        <w:rPr>
          <w:rFonts w:ascii="Arial" w:eastAsia="Arial" w:hAnsi="Arial" w:cs="Arial"/>
        </w:rPr>
        <w:t>2.2</w:t>
      </w:r>
      <w:r>
        <w:rPr>
          <w:sz w:val="20"/>
          <w:szCs w:val="20"/>
        </w:rPr>
        <w:tab/>
      </w:r>
      <w:r>
        <w:rPr>
          <w:rFonts w:ascii="Arial" w:eastAsia="Arial" w:hAnsi="Arial" w:cs="Arial"/>
        </w:rPr>
        <w:t>In accordance with the Rehabilitation of Offenders Act 1974 all application forms will contain the statement that, ‘a criminal record will not necessarily be a bar to obtaining a position’.</w:t>
      </w:r>
    </w:p>
    <w:p w14:paraId="705729FC" w14:textId="77777777" w:rsidR="005320B1" w:rsidRDefault="005320B1" w:rsidP="003B1E0E">
      <w:pPr>
        <w:rPr>
          <w:sz w:val="20"/>
          <w:szCs w:val="20"/>
        </w:rPr>
      </w:pPr>
    </w:p>
    <w:p w14:paraId="5AF2AD8B" w14:textId="77777777" w:rsidR="005320B1" w:rsidRDefault="005320B1" w:rsidP="003B1E0E">
      <w:pPr>
        <w:tabs>
          <w:tab w:val="left" w:pos="687"/>
        </w:tabs>
        <w:ind w:left="707" w:right="380" w:hanging="706"/>
        <w:rPr>
          <w:sz w:val="20"/>
          <w:szCs w:val="20"/>
        </w:rPr>
      </w:pPr>
      <w:r>
        <w:rPr>
          <w:rFonts w:ascii="Arial" w:eastAsia="Arial" w:hAnsi="Arial" w:cs="Arial"/>
        </w:rPr>
        <w:t>2.3</w:t>
      </w:r>
      <w:r>
        <w:rPr>
          <w:sz w:val="20"/>
          <w:szCs w:val="20"/>
        </w:rPr>
        <w:tab/>
      </w:r>
      <w:r>
        <w:rPr>
          <w:rFonts w:ascii="Arial" w:eastAsia="Arial" w:hAnsi="Arial" w:cs="Arial"/>
        </w:rPr>
        <w:t>All application forms will contain a section requiring the signature of the applicant stating they are willing for a DBS disclosure to be undertaken.</w:t>
      </w:r>
    </w:p>
    <w:p w14:paraId="2AF89739" w14:textId="77777777" w:rsidR="005320B1" w:rsidRDefault="005320B1" w:rsidP="003B1E0E">
      <w:pPr>
        <w:rPr>
          <w:sz w:val="20"/>
          <w:szCs w:val="20"/>
        </w:rPr>
      </w:pPr>
    </w:p>
    <w:p w14:paraId="1DCE2480" w14:textId="418FCF12" w:rsidR="005320B1" w:rsidRDefault="005320B1" w:rsidP="00AE014D">
      <w:pPr>
        <w:numPr>
          <w:ilvl w:val="0"/>
          <w:numId w:val="3"/>
        </w:numPr>
        <w:ind w:left="709" w:hanging="709"/>
        <w:rPr>
          <w:rFonts w:ascii="Arial" w:eastAsia="Arial" w:hAnsi="Arial" w:cs="Arial"/>
          <w:b/>
          <w:bCs/>
          <w:sz w:val="24"/>
          <w:szCs w:val="24"/>
        </w:rPr>
      </w:pPr>
      <w:r>
        <w:rPr>
          <w:rFonts w:ascii="Arial" w:eastAsia="Arial" w:hAnsi="Arial" w:cs="Arial"/>
          <w:b/>
          <w:bCs/>
          <w:sz w:val="24"/>
          <w:szCs w:val="24"/>
        </w:rPr>
        <w:t>Volunteers/Management Committee</w:t>
      </w:r>
    </w:p>
    <w:p w14:paraId="085AFE39" w14:textId="77777777" w:rsidR="005320B1" w:rsidRDefault="005320B1" w:rsidP="003B1E0E">
      <w:pPr>
        <w:rPr>
          <w:sz w:val="20"/>
          <w:szCs w:val="20"/>
        </w:rPr>
      </w:pPr>
    </w:p>
    <w:p w14:paraId="25D77B45" w14:textId="77777777" w:rsidR="005320B1" w:rsidRDefault="005320B1" w:rsidP="003B1E0E">
      <w:pPr>
        <w:tabs>
          <w:tab w:val="left" w:pos="687"/>
        </w:tabs>
        <w:ind w:left="707" w:right="1140" w:hanging="707"/>
        <w:rPr>
          <w:sz w:val="20"/>
          <w:szCs w:val="20"/>
        </w:rPr>
      </w:pPr>
      <w:r>
        <w:rPr>
          <w:rFonts w:ascii="Arial" w:eastAsia="Arial" w:hAnsi="Arial" w:cs="Arial"/>
        </w:rPr>
        <w:t>3.1</w:t>
      </w:r>
      <w:r>
        <w:rPr>
          <w:sz w:val="20"/>
          <w:szCs w:val="20"/>
        </w:rPr>
        <w:tab/>
      </w:r>
      <w:r>
        <w:rPr>
          <w:rFonts w:ascii="Arial" w:eastAsia="Arial" w:hAnsi="Arial" w:cs="Arial"/>
        </w:rPr>
        <w:t>This Child Contact Centre recognises that an offence listed in a disclosure is not necessarily a bar to employment.</w:t>
      </w:r>
    </w:p>
    <w:p w14:paraId="56A0C023" w14:textId="77777777" w:rsidR="005320B1" w:rsidRDefault="005320B1" w:rsidP="003B1E0E">
      <w:pPr>
        <w:rPr>
          <w:sz w:val="20"/>
          <w:szCs w:val="20"/>
        </w:rPr>
      </w:pPr>
    </w:p>
    <w:p w14:paraId="6FF7CFC9" w14:textId="77777777" w:rsidR="005320B1" w:rsidRDefault="005320B1" w:rsidP="003B1E0E">
      <w:pPr>
        <w:tabs>
          <w:tab w:val="left" w:pos="687"/>
        </w:tabs>
        <w:ind w:left="707" w:right="360" w:hanging="707"/>
        <w:rPr>
          <w:sz w:val="20"/>
          <w:szCs w:val="20"/>
        </w:rPr>
      </w:pPr>
      <w:r>
        <w:rPr>
          <w:rFonts w:ascii="Arial" w:eastAsia="Arial" w:hAnsi="Arial" w:cs="Arial"/>
        </w:rPr>
        <w:t>3.2</w:t>
      </w:r>
      <w:r>
        <w:rPr>
          <w:sz w:val="20"/>
          <w:szCs w:val="20"/>
        </w:rPr>
        <w:tab/>
      </w:r>
      <w:r>
        <w:rPr>
          <w:rFonts w:ascii="Arial" w:eastAsia="Arial" w:hAnsi="Arial" w:cs="Arial"/>
        </w:rPr>
        <w:t>This Child Contact Centre will review any information listed in a disclosure and in accordance with the DBS Code of Practice will consider the following when reviewing an applicant’s suitability:</w:t>
      </w:r>
    </w:p>
    <w:p w14:paraId="10EB4064" w14:textId="77777777" w:rsidR="005320B1" w:rsidRDefault="005320B1" w:rsidP="003B1E0E">
      <w:pPr>
        <w:rPr>
          <w:sz w:val="20"/>
          <w:szCs w:val="20"/>
        </w:rPr>
      </w:pPr>
    </w:p>
    <w:p w14:paraId="2C12053C" w14:textId="77777777" w:rsidR="005320B1" w:rsidRDefault="005320B1" w:rsidP="003B1E0E">
      <w:pPr>
        <w:numPr>
          <w:ilvl w:val="0"/>
          <w:numId w:val="4"/>
        </w:numPr>
        <w:tabs>
          <w:tab w:val="left" w:pos="1027"/>
        </w:tabs>
        <w:ind w:left="1027" w:hanging="319"/>
        <w:rPr>
          <w:rFonts w:ascii="Arial" w:eastAsia="Arial" w:hAnsi="Arial" w:cs="Arial"/>
        </w:rPr>
      </w:pPr>
      <w:r>
        <w:rPr>
          <w:rFonts w:ascii="Arial" w:eastAsia="Arial" w:hAnsi="Arial" w:cs="Arial"/>
        </w:rPr>
        <w:t>Whether the conviction or other matter revealed is relevant to the position in question,</w:t>
      </w:r>
    </w:p>
    <w:p w14:paraId="4A5F9E85" w14:textId="77777777" w:rsidR="005320B1" w:rsidRDefault="005320B1" w:rsidP="003B1E0E">
      <w:pPr>
        <w:rPr>
          <w:rFonts w:ascii="Arial" w:eastAsia="Arial" w:hAnsi="Arial" w:cs="Arial"/>
        </w:rPr>
      </w:pPr>
    </w:p>
    <w:p w14:paraId="51513858" w14:textId="77777777" w:rsidR="005320B1" w:rsidRDefault="005320B1" w:rsidP="003B1E0E">
      <w:pPr>
        <w:numPr>
          <w:ilvl w:val="0"/>
          <w:numId w:val="4"/>
        </w:numPr>
        <w:tabs>
          <w:tab w:val="left" w:pos="1027"/>
        </w:tabs>
        <w:ind w:left="1027" w:hanging="319"/>
        <w:rPr>
          <w:rFonts w:ascii="Arial" w:eastAsia="Arial" w:hAnsi="Arial" w:cs="Arial"/>
        </w:rPr>
      </w:pPr>
      <w:r>
        <w:rPr>
          <w:rFonts w:ascii="Arial" w:eastAsia="Arial" w:hAnsi="Arial" w:cs="Arial"/>
        </w:rPr>
        <w:t>The seriousness of any offence or other matter revealed,</w:t>
      </w:r>
    </w:p>
    <w:p w14:paraId="33EB749E" w14:textId="77777777" w:rsidR="005320B1" w:rsidRDefault="005320B1" w:rsidP="003B1E0E">
      <w:pPr>
        <w:rPr>
          <w:rFonts w:ascii="Arial" w:eastAsia="Arial" w:hAnsi="Arial" w:cs="Arial"/>
        </w:rPr>
      </w:pPr>
    </w:p>
    <w:p w14:paraId="6AE59368" w14:textId="77777777" w:rsidR="005320B1" w:rsidRDefault="005320B1" w:rsidP="003B1E0E">
      <w:pPr>
        <w:numPr>
          <w:ilvl w:val="0"/>
          <w:numId w:val="4"/>
        </w:numPr>
        <w:tabs>
          <w:tab w:val="left" w:pos="1027"/>
        </w:tabs>
        <w:ind w:left="1027" w:hanging="319"/>
        <w:rPr>
          <w:rFonts w:ascii="Arial" w:eastAsia="Arial" w:hAnsi="Arial" w:cs="Arial"/>
        </w:rPr>
      </w:pPr>
      <w:r>
        <w:rPr>
          <w:rFonts w:ascii="Arial" w:eastAsia="Arial" w:hAnsi="Arial" w:cs="Arial"/>
        </w:rPr>
        <w:t>The length of time since the offence or other matter occurred,</w:t>
      </w:r>
    </w:p>
    <w:p w14:paraId="0454FDF6" w14:textId="77777777" w:rsidR="005320B1" w:rsidRDefault="005320B1" w:rsidP="003B1E0E">
      <w:pPr>
        <w:rPr>
          <w:rFonts w:ascii="Arial" w:eastAsia="Arial" w:hAnsi="Arial" w:cs="Arial"/>
        </w:rPr>
      </w:pPr>
    </w:p>
    <w:p w14:paraId="4B9F7F89" w14:textId="77777777" w:rsidR="005320B1" w:rsidRDefault="005320B1" w:rsidP="003B1E0E">
      <w:pPr>
        <w:numPr>
          <w:ilvl w:val="0"/>
          <w:numId w:val="4"/>
        </w:numPr>
        <w:tabs>
          <w:tab w:val="left" w:pos="1014"/>
        </w:tabs>
        <w:ind w:left="1127" w:right="380" w:hanging="419"/>
        <w:rPr>
          <w:rFonts w:ascii="Arial" w:eastAsia="Arial" w:hAnsi="Arial" w:cs="Arial"/>
        </w:rPr>
      </w:pPr>
      <w:r>
        <w:rPr>
          <w:rFonts w:ascii="Arial" w:eastAsia="Arial" w:hAnsi="Arial" w:cs="Arial"/>
        </w:rPr>
        <w:t>Whether the applicant has a pattern of offending behaviour or other relevant matters, and</w:t>
      </w:r>
    </w:p>
    <w:p w14:paraId="40EC9B50" w14:textId="77777777" w:rsidR="005320B1" w:rsidRDefault="005320B1" w:rsidP="003B1E0E">
      <w:pPr>
        <w:rPr>
          <w:rFonts w:ascii="Arial" w:eastAsia="Arial" w:hAnsi="Arial" w:cs="Arial"/>
        </w:rPr>
      </w:pPr>
    </w:p>
    <w:p w14:paraId="500F1F28" w14:textId="77777777" w:rsidR="005320B1" w:rsidRDefault="005320B1" w:rsidP="003B1E0E">
      <w:pPr>
        <w:numPr>
          <w:ilvl w:val="0"/>
          <w:numId w:val="4"/>
        </w:numPr>
        <w:tabs>
          <w:tab w:val="left" w:pos="1014"/>
        </w:tabs>
        <w:ind w:left="1127" w:right="760" w:hanging="419"/>
        <w:rPr>
          <w:rFonts w:ascii="Arial" w:eastAsia="Arial" w:hAnsi="Arial" w:cs="Arial"/>
        </w:rPr>
      </w:pPr>
      <w:r>
        <w:rPr>
          <w:rFonts w:ascii="Arial" w:eastAsia="Arial" w:hAnsi="Arial" w:cs="Arial"/>
        </w:rPr>
        <w:t>The circumstances surrounding the offence and the explanation(s) offered by the convicted person.</w:t>
      </w:r>
    </w:p>
    <w:p w14:paraId="6F2B2C3A" w14:textId="77777777" w:rsidR="005320B1" w:rsidRDefault="005320B1" w:rsidP="003B1E0E">
      <w:pPr>
        <w:rPr>
          <w:sz w:val="20"/>
          <w:szCs w:val="20"/>
        </w:rPr>
      </w:pPr>
    </w:p>
    <w:p w14:paraId="664CA015" w14:textId="77777777" w:rsidR="005320B1" w:rsidRDefault="005320B1" w:rsidP="003B1E0E">
      <w:pPr>
        <w:tabs>
          <w:tab w:val="left" w:pos="687"/>
        </w:tabs>
        <w:ind w:left="707" w:right="60" w:hanging="707"/>
        <w:rPr>
          <w:sz w:val="20"/>
          <w:szCs w:val="20"/>
        </w:rPr>
      </w:pPr>
      <w:r>
        <w:rPr>
          <w:rFonts w:ascii="Arial" w:eastAsia="Arial" w:hAnsi="Arial" w:cs="Arial"/>
        </w:rPr>
        <w:lastRenderedPageBreak/>
        <w:t>3.3</w:t>
      </w:r>
      <w:r>
        <w:rPr>
          <w:sz w:val="20"/>
          <w:szCs w:val="20"/>
        </w:rPr>
        <w:tab/>
      </w:r>
      <w:r>
        <w:rPr>
          <w:rFonts w:ascii="Arial" w:eastAsia="Arial" w:hAnsi="Arial" w:cs="Arial"/>
        </w:rPr>
        <w:t>The Management Committee or person with legal responsibility will have the final decision as to the suitability of an appointment of a person whose application is subject to disclosure information. This decision will be taken in accordance with the Rehabilitation of Offenders Act 1974 and will be after discussion with the individual applicant.</w:t>
      </w:r>
    </w:p>
    <w:p w14:paraId="24A63EF1" w14:textId="77777777" w:rsidR="005320B1" w:rsidRDefault="005320B1" w:rsidP="003B1E0E">
      <w:pPr>
        <w:rPr>
          <w:sz w:val="20"/>
          <w:szCs w:val="20"/>
        </w:rPr>
      </w:pPr>
    </w:p>
    <w:p w14:paraId="409E3ECB" w14:textId="659798E8" w:rsidR="000A4680" w:rsidRPr="000A4680" w:rsidRDefault="005320B1" w:rsidP="00AE014D">
      <w:pPr>
        <w:tabs>
          <w:tab w:val="left" w:pos="687"/>
        </w:tabs>
        <w:ind w:left="707" w:right="240" w:hanging="707"/>
        <w:rPr>
          <w:rFonts w:ascii="Arial" w:eastAsia="Arial" w:hAnsi="Arial" w:cs="Arial"/>
          <w:b/>
          <w:bCs/>
          <w:sz w:val="24"/>
          <w:szCs w:val="24"/>
        </w:rPr>
      </w:pPr>
      <w:r>
        <w:rPr>
          <w:rFonts w:ascii="Arial" w:eastAsia="Arial" w:hAnsi="Arial" w:cs="Arial"/>
        </w:rPr>
        <w:t>3.4</w:t>
      </w:r>
      <w:r>
        <w:rPr>
          <w:sz w:val="20"/>
          <w:szCs w:val="20"/>
        </w:rPr>
        <w:tab/>
      </w:r>
      <w:r>
        <w:rPr>
          <w:rFonts w:ascii="Arial" w:eastAsia="Arial" w:hAnsi="Arial" w:cs="Arial"/>
          <w:sz w:val="21"/>
          <w:szCs w:val="21"/>
        </w:rPr>
        <w:t>Each applicant will be made aware that upon request a copy of the DBS Code of Conduct and this policy can be provided. This statement will be included in the application form.</w:t>
      </w:r>
      <w:bookmarkStart w:id="0" w:name="page82"/>
      <w:bookmarkEnd w:id="0"/>
    </w:p>
    <w:p w14:paraId="398B1ABE" w14:textId="77777777" w:rsidR="000A4680" w:rsidRPr="000A4680" w:rsidRDefault="000A4680" w:rsidP="003B1E0E">
      <w:pPr>
        <w:tabs>
          <w:tab w:val="left" w:pos="1027"/>
        </w:tabs>
        <w:rPr>
          <w:rFonts w:ascii="Arial" w:eastAsia="Arial" w:hAnsi="Arial" w:cs="Arial"/>
          <w:b/>
          <w:bCs/>
          <w:sz w:val="24"/>
          <w:szCs w:val="24"/>
        </w:rPr>
      </w:pPr>
    </w:p>
    <w:p w14:paraId="24F4D3D6" w14:textId="344F831C" w:rsidR="005320B1" w:rsidRPr="008A54B8" w:rsidRDefault="005320B1" w:rsidP="00AE014D">
      <w:pPr>
        <w:pStyle w:val="ListParagraph"/>
        <w:numPr>
          <w:ilvl w:val="0"/>
          <w:numId w:val="3"/>
        </w:numPr>
        <w:ind w:hanging="720"/>
        <w:rPr>
          <w:rFonts w:ascii="Arial" w:eastAsia="Arial" w:hAnsi="Arial" w:cs="Arial"/>
          <w:b/>
          <w:bCs/>
          <w:sz w:val="24"/>
          <w:szCs w:val="24"/>
        </w:rPr>
      </w:pPr>
      <w:r w:rsidRPr="008A54B8">
        <w:rPr>
          <w:rFonts w:ascii="Arial" w:eastAsia="Arial" w:hAnsi="Arial" w:cs="Arial"/>
          <w:b/>
          <w:bCs/>
          <w:sz w:val="24"/>
          <w:szCs w:val="24"/>
        </w:rPr>
        <w:t>Security &amp; Retention of Disclosure Information</w:t>
      </w:r>
    </w:p>
    <w:p w14:paraId="5F6F71D6" w14:textId="77777777" w:rsidR="005320B1" w:rsidRDefault="005320B1" w:rsidP="003B1E0E">
      <w:pPr>
        <w:rPr>
          <w:sz w:val="20"/>
          <w:szCs w:val="20"/>
        </w:rPr>
      </w:pPr>
    </w:p>
    <w:p w14:paraId="516F0851" w14:textId="77777777" w:rsidR="005320B1" w:rsidRDefault="005320B1" w:rsidP="00313C39">
      <w:pPr>
        <w:ind w:left="709" w:right="220" w:hanging="712"/>
        <w:rPr>
          <w:sz w:val="20"/>
          <w:szCs w:val="20"/>
        </w:rPr>
      </w:pPr>
      <w:r>
        <w:rPr>
          <w:rFonts w:ascii="Arial" w:eastAsia="Arial" w:hAnsi="Arial" w:cs="Arial"/>
        </w:rPr>
        <w:t>4.1</w:t>
      </w:r>
      <w:r>
        <w:rPr>
          <w:sz w:val="20"/>
          <w:szCs w:val="20"/>
        </w:rPr>
        <w:tab/>
      </w:r>
      <w:r>
        <w:rPr>
          <w:rFonts w:ascii="Arial" w:eastAsia="Arial" w:hAnsi="Arial" w:cs="Arial"/>
        </w:rPr>
        <w:t>This Child Contact Centre takes confidentiality seriously and ensures that all information relating to disclosures is kept in a secure place, under lock and key.</w:t>
      </w:r>
    </w:p>
    <w:p w14:paraId="2B9EE2A5" w14:textId="77777777" w:rsidR="005320B1" w:rsidRDefault="005320B1" w:rsidP="00116BDC">
      <w:pPr>
        <w:ind w:left="851" w:hanging="854"/>
        <w:rPr>
          <w:sz w:val="20"/>
          <w:szCs w:val="20"/>
        </w:rPr>
      </w:pPr>
    </w:p>
    <w:p w14:paraId="096997E8" w14:textId="77777777" w:rsidR="005320B1" w:rsidRDefault="005320B1" w:rsidP="00313C39">
      <w:pPr>
        <w:ind w:left="709" w:right="1160" w:hanging="712"/>
        <w:rPr>
          <w:sz w:val="20"/>
          <w:szCs w:val="20"/>
        </w:rPr>
      </w:pPr>
      <w:r>
        <w:rPr>
          <w:rFonts w:ascii="Arial" w:eastAsia="Arial" w:hAnsi="Arial" w:cs="Arial"/>
        </w:rPr>
        <w:t>4.2</w:t>
      </w:r>
      <w:r>
        <w:rPr>
          <w:sz w:val="20"/>
          <w:szCs w:val="20"/>
        </w:rPr>
        <w:tab/>
      </w:r>
      <w:r>
        <w:rPr>
          <w:rFonts w:ascii="Arial" w:eastAsia="Arial" w:hAnsi="Arial" w:cs="Arial"/>
        </w:rPr>
        <w:t>Only relevant employees who have been assigned responsibility for disclosure information have access to this.</w:t>
      </w:r>
    </w:p>
    <w:p w14:paraId="32F54918" w14:textId="77777777" w:rsidR="005320B1" w:rsidRDefault="005320B1" w:rsidP="00116BDC">
      <w:pPr>
        <w:ind w:left="851" w:hanging="854"/>
        <w:rPr>
          <w:sz w:val="20"/>
          <w:szCs w:val="20"/>
        </w:rPr>
      </w:pPr>
    </w:p>
    <w:p w14:paraId="0701DED6" w14:textId="77777777" w:rsidR="005320B1" w:rsidRDefault="005320B1" w:rsidP="00313C39">
      <w:pPr>
        <w:ind w:left="709" w:right="340" w:hanging="712"/>
        <w:rPr>
          <w:sz w:val="20"/>
          <w:szCs w:val="20"/>
        </w:rPr>
      </w:pPr>
      <w:r>
        <w:rPr>
          <w:rFonts w:ascii="Arial" w:eastAsia="Arial" w:hAnsi="Arial" w:cs="Arial"/>
        </w:rPr>
        <w:t>4.3</w:t>
      </w:r>
      <w:r>
        <w:rPr>
          <w:sz w:val="20"/>
          <w:szCs w:val="20"/>
        </w:rPr>
        <w:tab/>
      </w:r>
      <w:r>
        <w:rPr>
          <w:rFonts w:ascii="Arial" w:eastAsia="Arial" w:hAnsi="Arial" w:cs="Arial"/>
        </w:rPr>
        <w:t>DBS only send out the disclosure to the applicant. It is therefore important that you see the disclosure and make a note of the disclosure number and date for your records to enable three yearly DBS checks to be carried out.</w:t>
      </w:r>
    </w:p>
    <w:p w14:paraId="6DCE654C" w14:textId="77777777" w:rsidR="005320B1" w:rsidRDefault="005320B1" w:rsidP="003B1E0E">
      <w:pPr>
        <w:rPr>
          <w:sz w:val="20"/>
          <w:szCs w:val="20"/>
        </w:rPr>
      </w:pPr>
    </w:p>
    <w:p w14:paraId="2210FF3C" w14:textId="28D78EEE" w:rsidR="005320B1" w:rsidRDefault="005320B1" w:rsidP="00116BDC">
      <w:pPr>
        <w:numPr>
          <w:ilvl w:val="0"/>
          <w:numId w:val="6"/>
        </w:numPr>
        <w:ind w:left="709" w:hanging="709"/>
        <w:rPr>
          <w:rFonts w:ascii="Arial" w:eastAsia="Arial" w:hAnsi="Arial" w:cs="Arial"/>
          <w:b/>
          <w:bCs/>
          <w:sz w:val="24"/>
          <w:szCs w:val="24"/>
        </w:rPr>
      </w:pPr>
      <w:r>
        <w:rPr>
          <w:rFonts w:ascii="Arial" w:eastAsia="Arial" w:hAnsi="Arial" w:cs="Arial"/>
          <w:b/>
          <w:bCs/>
          <w:sz w:val="24"/>
          <w:szCs w:val="24"/>
        </w:rPr>
        <w:t>Levels of Disclosure</w:t>
      </w:r>
    </w:p>
    <w:p w14:paraId="011C668F" w14:textId="77777777" w:rsidR="005320B1" w:rsidRDefault="005320B1" w:rsidP="003B1E0E">
      <w:pPr>
        <w:rPr>
          <w:sz w:val="20"/>
          <w:szCs w:val="20"/>
        </w:rPr>
      </w:pPr>
    </w:p>
    <w:p w14:paraId="3997338C" w14:textId="77777777" w:rsidR="005320B1" w:rsidRDefault="005320B1" w:rsidP="00116BDC">
      <w:pPr>
        <w:ind w:left="709" w:right="180" w:hanging="709"/>
        <w:rPr>
          <w:sz w:val="20"/>
          <w:szCs w:val="20"/>
        </w:rPr>
      </w:pPr>
      <w:r>
        <w:rPr>
          <w:rFonts w:ascii="Arial" w:eastAsia="Arial" w:hAnsi="Arial" w:cs="Arial"/>
        </w:rPr>
        <w:t>5.1</w:t>
      </w:r>
      <w:r>
        <w:rPr>
          <w:sz w:val="20"/>
          <w:szCs w:val="20"/>
        </w:rPr>
        <w:tab/>
      </w:r>
      <w:r>
        <w:rPr>
          <w:rFonts w:ascii="Arial" w:eastAsia="Arial" w:hAnsi="Arial" w:cs="Arial"/>
        </w:rPr>
        <w:t>This Child Contact Centre processes all disclosures at the level of ‘enhanced’ as defined by the DBS</w:t>
      </w:r>
      <w:r>
        <w:rPr>
          <w:rFonts w:ascii="Arial" w:eastAsia="Arial" w:hAnsi="Arial" w:cs="Arial"/>
          <w:sz w:val="24"/>
          <w:szCs w:val="24"/>
        </w:rPr>
        <w:t>.</w:t>
      </w:r>
    </w:p>
    <w:p w14:paraId="78A15328" w14:textId="77777777" w:rsidR="005320B1" w:rsidRDefault="005320B1" w:rsidP="003B1E0E">
      <w:pPr>
        <w:rPr>
          <w:sz w:val="20"/>
          <w:szCs w:val="20"/>
        </w:rPr>
      </w:pPr>
    </w:p>
    <w:p w14:paraId="60000DE8" w14:textId="5337523E" w:rsidR="005320B1" w:rsidRDefault="005320B1" w:rsidP="00116BDC">
      <w:pPr>
        <w:numPr>
          <w:ilvl w:val="0"/>
          <w:numId w:val="7"/>
        </w:numPr>
        <w:ind w:left="709" w:hanging="709"/>
        <w:rPr>
          <w:rFonts w:ascii="Arial" w:eastAsia="Arial" w:hAnsi="Arial" w:cs="Arial"/>
          <w:b/>
          <w:bCs/>
          <w:sz w:val="24"/>
          <w:szCs w:val="24"/>
        </w:rPr>
      </w:pPr>
      <w:r>
        <w:rPr>
          <w:rFonts w:ascii="Arial" w:eastAsia="Arial" w:hAnsi="Arial" w:cs="Arial"/>
          <w:b/>
          <w:bCs/>
          <w:sz w:val="24"/>
          <w:szCs w:val="24"/>
        </w:rPr>
        <w:t>Payment of DBS Disclosures</w:t>
      </w:r>
    </w:p>
    <w:p w14:paraId="0C5AFD5A" w14:textId="77777777" w:rsidR="008A54B8" w:rsidRDefault="008A54B8" w:rsidP="003B1E0E">
      <w:pPr>
        <w:tabs>
          <w:tab w:val="left" w:pos="1027"/>
        </w:tabs>
        <w:ind w:left="1027"/>
        <w:rPr>
          <w:rFonts w:ascii="Arial" w:eastAsia="Arial" w:hAnsi="Arial" w:cs="Arial"/>
          <w:b/>
          <w:bCs/>
          <w:sz w:val="24"/>
          <w:szCs w:val="24"/>
        </w:rPr>
      </w:pPr>
    </w:p>
    <w:p w14:paraId="7D22582A" w14:textId="77777777" w:rsidR="005320B1" w:rsidRDefault="005320B1" w:rsidP="003B1E0E">
      <w:pPr>
        <w:rPr>
          <w:sz w:val="20"/>
          <w:szCs w:val="20"/>
        </w:rPr>
      </w:pPr>
    </w:p>
    <w:p w14:paraId="299D5020" w14:textId="5369844A" w:rsidR="005320B1" w:rsidRDefault="005320B1" w:rsidP="003B1E0E">
      <w:pPr>
        <w:tabs>
          <w:tab w:val="left" w:pos="687"/>
        </w:tabs>
        <w:ind w:left="707" w:right="80" w:hanging="707"/>
        <w:rPr>
          <w:rFonts w:ascii="Arial" w:eastAsia="Arial" w:hAnsi="Arial" w:cs="Arial"/>
        </w:rPr>
      </w:pPr>
      <w:r>
        <w:rPr>
          <w:rFonts w:ascii="Arial" w:eastAsia="Arial" w:hAnsi="Arial" w:cs="Arial"/>
          <w:sz w:val="20"/>
          <w:szCs w:val="20"/>
        </w:rPr>
        <w:t>6.1</w:t>
      </w:r>
      <w:r>
        <w:rPr>
          <w:sz w:val="20"/>
          <w:szCs w:val="20"/>
        </w:rPr>
        <w:tab/>
      </w:r>
      <w:r>
        <w:rPr>
          <w:rFonts w:ascii="Arial" w:eastAsia="Arial" w:hAnsi="Arial" w:cs="Arial"/>
        </w:rPr>
        <w:t>Currently the DBS do not charge for disclosures on volunteers and whilst this continues the NACCC will continue to process volunteer applications without charge.</w:t>
      </w:r>
    </w:p>
    <w:p w14:paraId="1204F1C3" w14:textId="77777777" w:rsidR="00937D0B" w:rsidRDefault="00937D0B" w:rsidP="003B1E0E">
      <w:pPr>
        <w:tabs>
          <w:tab w:val="left" w:pos="687"/>
        </w:tabs>
        <w:ind w:left="707" w:right="80" w:hanging="707"/>
        <w:rPr>
          <w:sz w:val="20"/>
          <w:szCs w:val="20"/>
        </w:rPr>
      </w:pPr>
    </w:p>
    <w:p w14:paraId="0CA28A0C" w14:textId="1F2BB5AF" w:rsidR="005320B1" w:rsidRDefault="00937D0B" w:rsidP="00116BDC">
      <w:pPr>
        <w:pStyle w:val="ListParagraph"/>
        <w:numPr>
          <w:ilvl w:val="0"/>
          <w:numId w:val="7"/>
        </w:numPr>
        <w:ind w:left="567" w:hanging="567"/>
        <w:rPr>
          <w:rFonts w:ascii="Arial" w:hAnsi="Arial" w:cs="Arial"/>
          <w:b/>
          <w:bCs/>
        </w:rPr>
      </w:pPr>
      <w:r>
        <w:rPr>
          <w:rFonts w:ascii="Arial" w:hAnsi="Arial" w:cs="Arial"/>
          <w:b/>
          <w:bCs/>
        </w:rPr>
        <w:t xml:space="preserve">  </w:t>
      </w:r>
      <w:r w:rsidRPr="00937D0B">
        <w:rPr>
          <w:rFonts w:ascii="Arial" w:hAnsi="Arial" w:cs="Arial"/>
          <w:b/>
          <w:bCs/>
        </w:rPr>
        <w:t>Paid Staff</w:t>
      </w:r>
      <w:r>
        <w:rPr>
          <w:rFonts w:ascii="Arial" w:hAnsi="Arial" w:cs="Arial"/>
          <w:b/>
          <w:bCs/>
        </w:rPr>
        <w:t xml:space="preserve"> and Reviews</w:t>
      </w:r>
    </w:p>
    <w:p w14:paraId="4F6BB01A" w14:textId="61DC35CC" w:rsidR="00937D0B" w:rsidRDefault="00937D0B" w:rsidP="003B1E0E">
      <w:pPr>
        <w:tabs>
          <w:tab w:val="left" w:pos="687"/>
        </w:tabs>
        <w:rPr>
          <w:rFonts w:ascii="Arial" w:hAnsi="Arial" w:cs="Arial"/>
          <w:b/>
          <w:bCs/>
        </w:rPr>
      </w:pPr>
    </w:p>
    <w:p w14:paraId="5808AD19" w14:textId="5EB0C8EB" w:rsidR="00937D0B" w:rsidRDefault="00937D0B" w:rsidP="003B1E0E">
      <w:pPr>
        <w:tabs>
          <w:tab w:val="left" w:pos="687"/>
        </w:tabs>
        <w:ind w:left="720"/>
        <w:rPr>
          <w:rFonts w:ascii="Arial" w:hAnsi="Arial" w:cs="Arial"/>
        </w:rPr>
      </w:pPr>
      <w:r>
        <w:rPr>
          <w:rFonts w:ascii="Arial" w:hAnsi="Arial" w:cs="Arial"/>
        </w:rPr>
        <w:t>West Wilts Child Contact Centre does not employ any paid staff. This procedure must be reviewed, taking into account any advice from NACCC and current legislation before any paid post is advertised.</w:t>
      </w:r>
      <w:r w:rsidR="00BD6C1A">
        <w:rPr>
          <w:rFonts w:ascii="Arial" w:hAnsi="Arial" w:cs="Arial"/>
        </w:rPr>
        <w:t xml:space="preserve">  This policy will be reviewed annually and updated if necessary.</w:t>
      </w:r>
    </w:p>
    <w:p w14:paraId="3F18CE57" w14:textId="35B0B9D2" w:rsidR="00400675" w:rsidRDefault="00400675" w:rsidP="003B1E0E">
      <w:pPr>
        <w:tabs>
          <w:tab w:val="left" w:pos="687"/>
        </w:tabs>
        <w:ind w:left="720"/>
        <w:rPr>
          <w:rFonts w:ascii="Arial" w:hAnsi="Arial" w:cs="Arial"/>
        </w:rPr>
      </w:pPr>
    </w:p>
    <w:p w14:paraId="57D57B70" w14:textId="1D85FD0C" w:rsidR="00400675" w:rsidRDefault="00400675" w:rsidP="003B1E0E">
      <w:pPr>
        <w:tabs>
          <w:tab w:val="left" w:pos="687"/>
        </w:tabs>
        <w:ind w:left="720"/>
        <w:rPr>
          <w:rFonts w:ascii="Arial" w:hAnsi="Arial" w:cs="Arial"/>
        </w:rPr>
      </w:pPr>
      <w:r>
        <w:rPr>
          <w:rFonts w:ascii="Arial" w:hAnsi="Arial" w:cs="Arial"/>
        </w:rPr>
        <w:t>Signed………………………………………Signed……………………………….</w:t>
      </w:r>
    </w:p>
    <w:p w14:paraId="38496FA8" w14:textId="744D3FA4" w:rsidR="00400675" w:rsidRDefault="00400675" w:rsidP="003B1E0E">
      <w:pPr>
        <w:tabs>
          <w:tab w:val="left" w:pos="687"/>
        </w:tabs>
        <w:ind w:left="720"/>
        <w:rPr>
          <w:rFonts w:ascii="Arial" w:hAnsi="Arial" w:cs="Arial"/>
        </w:rPr>
      </w:pPr>
    </w:p>
    <w:p w14:paraId="528F7EF2" w14:textId="49FEBE51" w:rsidR="00400675" w:rsidRDefault="00400675" w:rsidP="003B1E0E">
      <w:pPr>
        <w:tabs>
          <w:tab w:val="left" w:pos="687"/>
        </w:tabs>
        <w:ind w:left="720"/>
        <w:rPr>
          <w:rFonts w:ascii="Arial" w:hAnsi="Arial" w:cs="Arial"/>
        </w:rPr>
      </w:pPr>
      <w:r>
        <w:rPr>
          <w:rFonts w:ascii="Arial" w:hAnsi="Arial" w:cs="Arial"/>
        </w:rPr>
        <w:t>Position…………………………………</w:t>
      </w:r>
      <w:proofErr w:type="gramStart"/>
      <w:r>
        <w:rPr>
          <w:rFonts w:ascii="Arial" w:hAnsi="Arial" w:cs="Arial"/>
        </w:rPr>
        <w:t>…..</w:t>
      </w:r>
      <w:proofErr w:type="gramEnd"/>
      <w:r>
        <w:rPr>
          <w:rFonts w:ascii="Arial" w:hAnsi="Arial" w:cs="Arial"/>
        </w:rPr>
        <w:t>Position………………………………</w:t>
      </w:r>
    </w:p>
    <w:p w14:paraId="4CD809C8" w14:textId="16FC2E20" w:rsidR="00400675" w:rsidRDefault="00400675" w:rsidP="003B1E0E">
      <w:pPr>
        <w:tabs>
          <w:tab w:val="left" w:pos="687"/>
        </w:tabs>
        <w:ind w:left="720"/>
        <w:rPr>
          <w:rFonts w:ascii="Arial" w:hAnsi="Arial" w:cs="Arial"/>
        </w:rPr>
      </w:pPr>
    </w:p>
    <w:p w14:paraId="63824DC0" w14:textId="223E97D8" w:rsidR="00400675" w:rsidRPr="00937D0B" w:rsidRDefault="00400675" w:rsidP="003B1E0E">
      <w:pPr>
        <w:tabs>
          <w:tab w:val="left" w:pos="687"/>
        </w:tabs>
        <w:ind w:left="720"/>
        <w:rPr>
          <w:rFonts w:ascii="Arial" w:hAnsi="Arial" w:cs="Arial"/>
        </w:rPr>
      </w:pPr>
      <w:r>
        <w:rPr>
          <w:rFonts w:ascii="Arial" w:hAnsi="Arial" w:cs="Arial"/>
        </w:rPr>
        <w:t>Date………………………………………….Date………………………………….</w:t>
      </w:r>
    </w:p>
    <w:p w14:paraId="112C86B2" w14:textId="6CB229A0" w:rsidR="00937D0B" w:rsidRDefault="00937D0B" w:rsidP="003B1E0E">
      <w:pPr>
        <w:tabs>
          <w:tab w:val="left" w:pos="687"/>
        </w:tabs>
        <w:ind w:left="720"/>
        <w:rPr>
          <w:rFonts w:ascii="Arial" w:hAnsi="Arial" w:cs="Arial"/>
          <w:b/>
          <w:bCs/>
        </w:rPr>
      </w:pPr>
    </w:p>
    <w:p w14:paraId="685A566B" w14:textId="685BD2D5" w:rsidR="00937D0B" w:rsidRPr="00937D0B" w:rsidRDefault="00937D0B" w:rsidP="003B1E0E">
      <w:pPr>
        <w:tabs>
          <w:tab w:val="left" w:pos="687"/>
        </w:tabs>
        <w:rPr>
          <w:rFonts w:ascii="Arial" w:hAnsi="Arial" w:cs="Arial"/>
          <w:b/>
          <w:bCs/>
        </w:rPr>
      </w:pPr>
      <w:r>
        <w:rPr>
          <w:rFonts w:ascii="Arial" w:hAnsi="Arial" w:cs="Arial"/>
          <w:b/>
          <w:bCs/>
        </w:rPr>
        <w:tab/>
      </w:r>
      <w:r>
        <w:rPr>
          <w:rFonts w:ascii="Arial" w:hAnsi="Arial" w:cs="Arial"/>
          <w:b/>
          <w:bCs/>
        </w:rPr>
        <w:tab/>
      </w:r>
    </w:p>
    <w:p w14:paraId="5296AF2C" w14:textId="77777777" w:rsidR="005320B1" w:rsidRDefault="005320B1" w:rsidP="003B1E0E">
      <w:pPr>
        <w:rPr>
          <w:sz w:val="20"/>
          <w:szCs w:val="20"/>
        </w:rPr>
      </w:pPr>
    </w:p>
    <w:p w14:paraId="79CB0964" w14:textId="77777777" w:rsidR="005320B1" w:rsidRDefault="005320B1" w:rsidP="003B1E0E">
      <w:pPr>
        <w:rPr>
          <w:sz w:val="20"/>
          <w:szCs w:val="20"/>
        </w:rPr>
      </w:pPr>
    </w:p>
    <w:p w14:paraId="5980A445" w14:textId="77777777" w:rsidR="00DD5058" w:rsidRDefault="00DD5058" w:rsidP="003B1E0E"/>
    <w:sectPr w:rsidR="00DD50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79D4" w14:textId="77777777" w:rsidR="00673202" w:rsidRDefault="00673202" w:rsidP="00463176">
      <w:r>
        <w:separator/>
      </w:r>
    </w:p>
  </w:endnote>
  <w:endnote w:type="continuationSeparator" w:id="0">
    <w:p w14:paraId="5D5FF99E" w14:textId="77777777" w:rsidR="00673202" w:rsidRDefault="00673202" w:rsidP="0046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D50" w14:textId="77777777" w:rsidR="007257F8" w:rsidRDefault="0072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1EAC" w14:textId="30F11F80" w:rsidR="007257F8" w:rsidRDefault="007257F8">
    <w:pPr>
      <w:pStyle w:val="Footer"/>
    </w:pPr>
    <w:r>
      <w:t xml:space="preserve">West Wilts Child Contact Centre Disclosure and Barring Service Policy Jan 21 Issue No 2021/1 Reviewed January </w:t>
    </w:r>
    <w:r>
      <w:t>2022</w:t>
    </w:r>
  </w:p>
  <w:p w14:paraId="589C238F" w14:textId="0B9CB291" w:rsidR="00463176" w:rsidRDefault="0046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60BB" w14:textId="77777777" w:rsidR="007257F8" w:rsidRDefault="0072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FEE6" w14:textId="77777777" w:rsidR="00673202" w:rsidRDefault="00673202" w:rsidP="00463176">
      <w:r>
        <w:separator/>
      </w:r>
    </w:p>
  </w:footnote>
  <w:footnote w:type="continuationSeparator" w:id="0">
    <w:p w14:paraId="7C0CE304" w14:textId="77777777" w:rsidR="00673202" w:rsidRDefault="00673202" w:rsidP="0046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1B8C" w14:textId="77777777" w:rsidR="007257F8" w:rsidRDefault="0072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7167"/>
      <w:docPartObj>
        <w:docPartGallery w:val="Page Numbers (Top of Page)"/>
        <w:docPartUnique/>
      </w:docPartObj>
    </w:sdtPr>
    <w:sdtEndPr>
      <w:rPr>
        <w:noProof/>
      </w:rPr>
    </w:sdtEndPr>
    <w:sdtContent>
      <w:p w14:paraId="13752615" w14:textId="669BD94A" w:rsidR="00463176" w:rsidRDefault="00463176">
        <w:pPr>
          <w:pStyle w:val="Header"/>
        </w:pPr>
        <w:r>
          <w:fldChar w:fldCharType="begin"/>
        </w:r>
        <w:r>
          <w:instrText xml:space="preserve"> PAGE   \* MERGEFORMAT </w:instrText>
        </w:r>
        <w:r>
          <w:fldChar w:fldCharType="separate"/>
        </w:r>
        <w:r>
          <w:rPr>
            <w:noProof/>
          </w:rPr>
          <w:t>2</w:t>
        </w:r>
        <w:r>
          <w:rPr>
            <w:noProof/>
          </w:rPr>
          <w:fldChar w:fldCharType="end"/>
        </w:r>
      </w:p>
    </w:sdtContent>
  </w:sdt>
  <w:p w14:paraId="2C3EDAD9" w14:textId="77777777" w:rsidR="00463176" w:rsidRDefault="0046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E5BF" w14:textId="77777777" w:rsidR="007257F8" w:rsidRDefault="0072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871"/>
    <w:multiLevelType w:val="hybridMultilevel"/>
    <w:tmpl w:val="25B28658"/>
    <w:lvl w:ilvl="0" w:tplc="7354C3A8">
      <w:start w:val="2"/>
      <w:numFmt w:val="decimal"/>
      <w:lvlText w:val="%1."/>
      <w:lvlJc w:val="left"/>
    </w:lvl>
    <w:lvl w:ilvl="1" w:tplc="A168A0AC">
      <w:numFmt w:val="decimal"/>
      <w:lvlText w:val=""/>
      <w:lvlJc w:val="left"/>
    </w:lvl>
    <w:lvl w:ilvl="2" w:tplc="82AED462">
      <w:numFmt w:val="decimal"/>
      <w:lvlText w:val=""/>
      <w:lvlJc w:val="left"/>
    </w:lvl>
    <w:lvl w:ilvl="3" w:tplc="2B781BE0">
      <w:numFmt w:val="decimal"/>
      <w:lvlText w:val=""/>
      <w:lvlJc w:val="left"/>
    </w:lvl>
    <w:lvl w:ilvl="4" w:tplc="C5E21B9C">
      <w:numFmt w:val="decimal"/>
      <w:lvlText w:val=""/>
      <w:lvlJc w:val="left"/>
    </w:lvl>
    <w:lvl w:ilvl="5" w:tplc="8AF4161E">
      <w:numFmt w:val="decimal"/>
      <w:lvlText w:val=""/>
      <w:lvlJc w:val="left"/>
    </w:lvl>
    <w:lvl w:ilvl="6" w:tplc="C2C0E360">
      <w:numFmt w:val="decimal"/>
      <w:lvlText w:val=""/>
      <w:lvlJc w:val="left"/>
    </w:lvl>
    <w:lvl w:ilvl="7" w:tplc="565C7AFC">
      <w:numFmt w:val="decimal"/>
      <w:lvlText w:val=""/>
      <w:lvlJc w:val="left"/>
    </w:lvl>
    <w:lvl w:ilvl="8" w:tplc="8DEE508A">
      <w:numFmt w:val="decimal"/>
      <w:lvlText w:val=""/>
      <w:lvlJc w:val="left"/>
    </w:lvl>
  </w:abstractNum>
  <w:abstractNum w:abstractNumId="1" w15:restartNumberingAfterBreak="0">
    <w:nsid w:val="0000159F"/>
    <w:multiLevelType w:val="hybridMultilevel"/>
    <w:tmpl w:val="26A01CEE"/>
    <w:lvl w:ilvl="0" w:tplc="3CB0A4AC">
      <w:start w:val="3"/>
      <w:numFmt w:val="decimal"/>
      <w:lvlText w:val="%1."/>
      <w:lvlJc w:val="left"/>
    </w:lvl>
    <w:lvl w:ilvl="1" w:tplc="E590434E">
      <w:numFmt w:val="decimal"/>
      <w:lvlText w:val=""/>
      <w:lvlJc w:val="left"/>
    </w:lvl>
    <w:lvl w:ilvl="2" w:tplc="9AFE7D64">
      <w:numFmt w:val="decimal"/>
      <w:lvlText w:val=""/>
      <w:lvlJc w:val="left"/>
    </w:lvl>
    <w:lvl w:ilvl="3" w:tplc="D638A310">
      <w:numFmt w:val="decimal"/>
      <w:lvlText w:val=""/>
      <w:lvlJc w:val="left"/>
    </w:lvl>
    <w:lvl w:ilvl="4" w:tplc="24F65A2A">
      <w:numFmt w:val="decimal"/>
      <w:lvlText w:val=""/>
      <w:lvlJc w:val="left"/>
    </w:lvl>
    <w:lvl w:ilvl="5" w:tplc="856888EE">
      <w:numFmt w:val="decimal"/>
      <w:lvlText w:val=""/>
      <w:lvlJc w:val="left"/>
    </w:lvl>
    <w:lvl w:ilvl="6" w:tplc="BDE449DA">
      <w:numFmt w:val="decimal"/>
      <w:lvlText w:val=""/>
      <w:lvlJc w:val="left"/>
    </w:lvl>
    <w:lvl w:ilvl="7" w:tplc="9A3EE3D2">
      <w:numFmt w:val="decimal"/>
      <w:lvlText w:val=""/>
      <w:lvlJc w:val="left"/>
    </w:lvl>
    <w:lvl w:ilvl="8" w:tplc="7F6CAFF2">
      <w:numFmt w:val="decimal"/>
      <w:lvlText w:val=""/>
      <w:lvlJc w:val="left"/>
    </w:lvl>
  </w:abstractNum>
  <w:abstractNum w:abstractNumId="2" w15:restartNumberingAfterBreak="0">
    <w:nsid w:val="00001BD9"/>
    <w:multiLevelType w:val="hybridMultilevel"/>
    <w:tmpl w:val="A9EE8CA2"/>
    <w:lvl w:ilvl="0" w:tplc="C748AB44">
      <w:start w:val="1"/>
      <w:numFmt w:val="decimal"/>
      <w:lvlText w:val="%1."/>
      <w:lvlJc w:val="left"/>
    </w:lvl>
    <w:lvl w:ilvl="1" w:tplc="D80E278C">
      <w:numFmt w:val="decimal"/>
      <w:lvlText w:val=""/>
      <w:lvlJc w:val="left"/>
    </w:lvl>
    <w:lvl w:ilvl="2" w:tplc="ABDA6AE8">
      <w:numFmt w:val="decimal"/>
      <w:lvlText w:val=""/>
      <w:lvlJc w:val="left"/>
    </w:lvl>
    <w:lvl w:ilvl="3" w:tplc="B10A7F1A">
      <w:numFmt w:val="decimal"/>
      <w:lvlText w:val=""/>
      <w:lvlJc w:val="left"/>
    </w:lvl>
    <w:lvl w:ilvl="4" w:tplc="80442B14">
      <w:numFmt w:val="decimal"/>
      <w:lvlText w:val=""/>
      <w:lvlJc w:val="left"/>
    </w:lvl>
    <w:lvl w:ilvl="5" w:tplc="216A64BE">
      <w:numFmt w:val="decimal"/>
      <w:lvlText w:val=""/>
      <w:lvlJc w:val="left"/>
    </w:lvl>
    <w:lvl w:ilvl="6" w:tplc="41CA6304">
      <w:numFmt w:val="decimal"/>
      <w:lvlText w:val=""/>
      <w:lvlJc w:val="left"/>
    </w:lvl>
    <w:lvl w:ilvl="7" w:tplc="24BEF2F8">
      <w:numFmt w:val="decimal"/>
      <w:lvlText w:val=""/>
      <w:lvlJc w:val="left"/>
    </w:lvl>
    <w:lvl w:ilvl="8" w:tplc="A5402D24">
      <w:numFmt w:val="decimal"/>
      <w:lvlText w:val=""/>
      <w:lvlJc w:val="left"/>
    </w:lvl>
  </w:abstractNum>
  <w:abstractNum w:abstractNumId="3" w15:restartNumberingAfterBreak="0">
    <w:nsid w:val="000028E2"/>
    <w:multiLevelType w:val="hybridMultilevel"/>
    <w:tmpl w:val="9BCA11C8"/>
    <w:lvl w:ilvl="0" w:tplc="6D443C14">
      <w:start w:val="5"/>
      <w:numFmt w:val="decimal"/>
      <w:lvlText w:val="%1."/>
      <w:lvlJc w:val="left"/>
    </w:lvl>
    <w:lvl w:ilvl="1" w:tplc="48705D46">
      <w:numFmt w:val="decimal"/>
      <w:lvlText w:val=""/>
      <w:lvlJc w:val="left"/>
    </w:lvl>
    <w:lvl w:ilvl="2" w:tplc="99E45E56">
      <w:numFmt w:val="decimal"/>
      <w:lvlText w:val=""/>
      <w:lvlJc w:val="left"/>
    </w:lvl>
    <w:lvl w:ilvl="3" w:tplc="93A21EAA">
      <w:numFmt w:val="decimal"/>
      <w:lvlText w:val=""/>
      <w:lvlJc w:val="left"/>
    </w:lvl>
    <w:lvl w:ilvl="4" w:tplc="B4D263D2">
      <w:numFmt w:val="decimal"/>
      <w:lvlText w:val=""/>
      <w:lvlJc w:val="left"/>
    </w:lvl>
    <w:lvl w:ilvl="5" w:tplc="0818BDF8">
      <w:numFmt w:val="decimal"/>
      <w:lvlText w:val=""/>
      <w:lvlJc w:val="left"/>
    </w:lvl>
    <w:lvl w:ilvl="6" w:tplc="841A610A">
      <w:numFmt w:val="decimal"/>
      <w:lvlText w:val=""/>
      <w:lvlJc w:val="left"/>
    </w:lvl>
    <w:lvl w:ilvl="7" w:tplc="1CA4473A">
      <w:numFmt w:val="decimal"/>
      <w:lvlText w:val=""/>
      <w:lvlJc w:val="left"/>
    </w:lvl>
    <w:lvl w:ilvl="8" w:tplc="D1F896B8">
      <w:numFmt w:val="decimal"/>
      <w:lvlText w:val=""/>
      <w:lvlJc w:val="left"/>
    </w:lvl>
  </w:abstractNum>
  <w:abstractNum w:abstractNumId="4" w15:restartNumberingAfterBreak="0">
    <w:nsid w:val="00002BA5"/>
    <w:multiLevelType w:val="hybridMultilevel"/>
    <w:tmpl w:val="F1922F40"/>
    <w:lvl w:ilvl="0" w:tplc="F5066FC8">
      <w:start w:val="4"/>
      <w:numFmt w:val="decimal"/>
      <w:lvlText w:val="%1."/>
      <w:lvlJc w:val="left"/>
    </w:lvl>
    <w:lvl w:ilvl="1" w:tplc="E370C4D6">
      <w:numFmt w:val="decimal"/>
      <w:lvlText w:val=""/>
      <w:lvlJc w:val="left"/>
    </w:lvl>
    <w:lvl w:ilvl="2" w:tplc="FF6A3ACE">
      <w:numFmt w:val="decimal"/>
      <w:lvlText w:val=""/>
      <w:lvlJc w:val="left"/>
    </w:lvl>
    <w:lvl w:ilvl="3" w:tplc="6194C66A">
      <w:numFmt w:val="decimal"/>
      <w:lvlText w:val=""/>
      <w:lvlJc w:val="left"/>
    </w:lvl>
    <w:lvl w:ilvl="4" w:tplc="75A47936">
      <w:numFmt w:val="decimal"/>
      <w:lvlText w:val=""/>
      <w:lvlJc w:val="left"/>
    </w:lvl>
    <w:lvl w:ilvl="5" w:tplc="B3880B98">
      <w:numFmt w:val="decimal"/>
      <w:lvlText w:val=""/>
      <w:lvlJc w:val="left"/>
    </w:lvl>
    <w:lvl w:ilvl="6" w:tplc="124E7D88">
      <w:numFmt w:val="decimal"/>
      <w:lvlText w:val=""/>
      <w:lvlJc w:val="left"/>
    </w:lvl>
    <w:lvl w:ilvl="7" w:tplc="2FE00CA8">
      <w:numFmt w:val="decimal"/>
      <w:lvlText w:val=""/>
      <w:lvlJc w:val="left"/>
    </w:lvl>
    <w:lvl w:ilvl="8" w:tplc="FA88F62C">
      <w:numFmt w:val="decimal"/>
      <w:lvlText w:val=""/>
      <w:lvlJc w:val="left"/>
    </w:lvl>
  </w:abstractNum>
  <w:abstractNum w:abstractNumId="5" w15:restartNumberingAfterBreak="0">
    <w:nsid w:val="00002F0C"/>
    <w:multiLevelType w:val="hybridMultilevel"/>
    <w:tmpl w:val="83024D36"/>
    <w:lvl w:ilvl="0" w:tplc="63DE9EB2">
      <w:start w:val="6"/>
      <w:numFmt w:val="decimal"/>
      <w:lvlText w:val="%1."/>
      <w:lvlJc w:val="left"/>
    </w:lvl>
    <w:lvl w:ilvl="1" w:tplc="986870D4">
      <w:numFmt w:val="decimal"/>
      <w:lvlText w:val=""/>
      <w:lvlJc w:val="left"/>
    </w:lvl>
    <w:lvl w:ilvl="2" w:tplc="0A4EAC40">
      <w:numFmt w:val="decimal"/>
      <w:lvlText w:val=""/>
      <w:lvlJc w:val="left"/>
    </w:lvl>
    <w:lvl w:ilvl="3" w:tplc="8ECC9E80">
      <w:numFmt w:val="decimal"/>
      <w:lvlText w:val=""/>
      <w:lvlJc w:val="left"/>
    </w:lvl>
    <w:lvl w:ilvl="4" w:tplc="244CF130">
      <w:numFmt w:val="decimal"/>
      <w:lvlText w:val=""/>
      <w:lvlJc w:val="left"/>
    </w:lvl>
    <w:lvl w:ilvl="5" w:tplc="4672E772">
      <w:numFmt w:val="decimal"/>
      <w:lvlText w:val=""/>
      <w:lvlJc w:val="left"/>
    </w:lvl>
    <w:lvl w:ilvl="6" w:tplc="8C6A1F1C">
      <w:numFmt w:val="decimal"/>
      <w:lvlText w:val=""/>
      <w:lvlJc w:val="left"/>
    </w:lvl>
    <w:lvl w:ilvl="7" w:tplc="F5369E1E">
      <w:numFmt w:val="decimal"/>
      <w:lvlText w:val=""/>
      <w:lvlJc w:val="left"/>
    </w:lvl>
    <w:lvl w:ilvl="8" w:tplc="71D8D110">
      <w:numFmt w:val="decimal"/>
      <w:lvlText w:val=""/>
      <w:lvlJc w:val="left"/>
    </w:lvl>
  </w:abstractNum>
  <w:abstractNum w:abstractNumId="6" w15:restartNumberingAfterBreak="0">
    <w:nsid w:val="00004FE2"/>
    <w:multiLevelType w:val="hybridMultilevel"/>
    <w:tmpl w:val="74BCD1D4"/>
    <w:lvl w:ilvl="0" w:tplc="6C9C3DFC">
      <w:start w:val="1"/>
      <w:numFmt w:val="lowerLetter"/>
      <w:lvlText w:val="%1."/>
      <w:lvlJc w:val="left"/>
    </w:lvl>
    <w:lvl w:ilvl="1" w:tplc="6956998C">
      <w:numFmt w:val="decimal"/>
      <w:lvlText w:val=""/>
      <w:lvlJc w:val="left"/>
    </w:lvl>
    <w:lvl w:ilvl="2" w:tplc="2FDEC44C">
      <w:numFmt w:val="decimal"/>
      <w:lvlText w:val=""/>
      <w:lvlJc w:val="left"/>
    </w:lvl>
    <w:lvl w:ilvl="3" w:tplc="2756537C">
      <w:numFmt w:val="decimal"/>
      <w:lvlText w:val=""/>
      <w:lvlJc w:val="left"/>
    </w:lvl>
    <w:lvl w:ilvl="4" w:tplc="2DE87CC6">
      <w:numFmt w:val="decimal"/>
      <w:lvlText w:val=""/>
      <w:lvlJc w:val="left"/>
    </w:lvl>
    <w:lvl w:ilvl="5" w:tplc="5ADAD3DC">
      <w:numFmt w:val="decimal"/>
      <w:lvlText w:val=""/>
      <w:lvlJc w:val="left"/>
    </w:lvl>
    <w:lvl w:ilvl="6" w:tplc="402C2730">
      <w:numFmt w:val="decimal"/>
      <w:lvlText w:val=""/>
      <w:lvlJc w:val="left"/>
    </w:lvl>
    <w:lvl w:ilvl="7" w:tplc="B106A6F6">
      <w:numFmt w:val="decimal"/>
      <w:lvlText w:val=""/>
      <w:lvlJc w:val="left"/>
    </w:lvl>
    <w:lvl w:ilvl="8" w:tplc="D5CEE9FC">
      <w:numFmt w:val="decimal"/>
      <w:lvlText w:val=""/>
      <w:lvlJc w:val="left"/>
    </w:lvl>
  </w:abstractNum>
  <w:num w:numId="1" w16cid:durableId="1244947119">
    <w:abstractNumId w:val="2"/>
  </w:num>
  <w:num w:numId="2" w16cid:durableId="984042017">
    <w:abstractNumId w:val="0"/>
  </w:num>
  <w:num w:numId="3" w16cid:durableId="661274929">
    <w:abstractNumId w:val="1"/>
  </w:num>
  <w:num w:numId="4" w16cid:durableId="548078635">
    <w:abstractNumId w:val="6"/>
  </w:num>
  <w:num w:numId="5" w16cid:durableId="214242454">
    <w:abstractNumId w:val="4"/>
  </w:num>
  <w:num w:numId="6" w16cid:durableId="1184779746">
    <w:abstractNumId w:val="3"/>
  </w:num>
  <w:num w:numId="7" w16cid:durableId="389965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B1"/>
    <w:rsid w:val="000A4680"/>
    <w:rsid w:val="00116BDC"/>
    <w:rsid w:val="002E526F"/>
    <w:rsid w:val="00313C39"/>
    <w:rsid w:val="003B1E0E"/>
    <w:rsid w:val="003F1779"/>
    <w:rsid w:val="00400675"/>
    <w:rsid w:val="00463176"/>
    <w:rsid w:val="005320B1"/>
    <w:rsid w:val="005918EB"/>
    <w:rsid w:val="005E2390"/>
    <w:rsid w:val="00673202"/>
    <w:rsid w:val="00711F5A"/>
    <w:rsid w:val="007257F8"/>
    <w:rsid w:val="00886F7C"/>
    <w:rsid w:val="008A54B8"/>
    <w:rsid w:val="00937D0B"/>
    <w:rsid w:val="00A93A20"/>
    <w:rsid w:val="00AE014D"/>
    <w:rsid w:val="00AF1083"/>
    <w:rsid w:val="00B47690"/>
    <w:rsid w:val="00BB7D2C"/>
    <w:rsid w:val="00BD6C1A"/>
    <w:rsid w:val="00C55020"/>
    <w:rsid w:val="00C96FE2"/>
    <w:rsid w:val="00DD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4654"/>
  <w15:chartTrackingRefBased/>
  <w15:docId w15:val="{6089ED48-F91D-4480-A857-ACC2484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B1"/>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C55020"/>
    <w:pPr>
      <w:keepNext/>
      <w:keepLines/>
      <w:spacing w:before="240"/>
      <w:outlineLvl w:val="0"/>
    </w:pPr>
    <w:rPr>
      <w:rFonts w:ascii="Arial" w:eastAsia="Arial" w:hAnsi="Arial" w:cs="Arial"/>
      <w:color w:val="2F5496" w:themeColor="accent1" w:themeShade="BF"/>
    </w:rPr>
  </w:style>
  <w:style w:type="paragraph" w:styleId="Heading2">
    <w:name w:val="heading 2"/>
    <w:basedOn w:val="Normal"/>
    <w:next w:val="Normal"/>
    <w:link w:val="Heading2Char"/>
    <w:uiPriority w:val="9"/>
    <w:unhideWhenUsed/>
    <w:qFormat/>
    <w:rsid w:val="005918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020"/>
    <w:rPr>
      <w:rFonts w:ascii="Arial" w:eastAsia="Arial" w:hAnsi="Arial" w:cs="Arial"/>
      <w:color w:val="2F5496" w:themeColor="accent1" w:themeShade="BF"/>
      <w:lang w:eastAsia="en-GB"/>
    </w:rPr>
  </w:style>
  <w:style w:type="character" w:customStyle="1" w:styleId="Heading2Char">
    <w:name w:val="Heading 2 Char"/>
    <w:basedOn w:val="DefaultParagraphFont"/>
    <w:link w:val="Heading2"/>
    <w:uiPriority w:val="9"/>
    <w:rsid w:val="005918EB"/>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591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EB"/>
    <w:rPr>
      <w:rFonts w:ascii="Segoe UI" w:eastAsiaTheme="minorEastAsia" w:hAnsi="Segoe UI" w:cs="Segoe UI"/>
      <w:sz w:val="18"/>
      <w:szCs w:val="18"/>
      <w:lang w:eastAsia="en-GB"/>
    </w:rPr>
  </w:style>
  <w:style w:type="paragraph" w:styleId="ListParagraph">
    <w:name w:val="List Paragraph"/>
    <w:basedOn w:val="Normal"/>
    <w:uiPriority w:val="34"/>
    <w:qFormat/>
    <w:rsid w:val="000A4680"/>
    <w:pPr>
      <w:ind w:left="720"/>
      <w:contextualSpacing/>
    </w:pPr>
  </w:style>
  <w:style w:type="paragraph" w:styleId="Header">
    <w:name w:val="header"/>
    <w:basedOn w:val="Normal"/>
    <w:link w:val="HeaderChar"/>
    <w:uiPriority w:val="99"/>
    <w:unhideWhenUsed/>
    <w:rsid w:val="00463176"/>
    <w:pPr>
      <w:tabs>
        <w:tab w:val="center" w:pos="4513"/>
        <w:tab w:val="right" w:pos="9026"/>
      </w:tabs>
    </w:pPr>
  </w:style>
  <w:style w:type="character" w:customStyle="1" w:styleId="HeaderChar">
    <w:name w:val="Header Char"/>
    <w:basedOn w:val="DefaultParagraphFont"/>
    <w:link w:val="Header"/>
    <w:uiPriority w:val="99"/>
    <w:rsid w:val="00463176"/>
    <w:rPr>
      <w:rFonts w:ascii="Times New Roman" w:eastAsiaTheme="minorEastAsia" w:hAnsi="Times New Roman" w:cs="Times New Roman"/>
      <w:lang w:eastAsia="en-GB"/>
    </w:rPr>
  </w:style>
  <w:style w:type="paragraph" w:styleId="Footer">
    <w:name w:val="footer"/>
    <w:basedOn w:val="Normal"/>
    <w:link w:val="FooterChar"/>
    <w:uiPriority w:val="99"/>
    <w:unhideWhenUsed/>
    <w:rsid w:val="00463176"/>
    <w:pPr>
      <w:tabs>
        <w:tab w:val="center" w:pos="4513"/>
        <w:tab w:val="right" w:pos="9026"/>
      </w:tabs>
    </w:pPr>
  </w:style>
  <w:style w:type="character" w:customStyle="1" w:styleId="FooterChar">
    <w:name w:val="Footer Char"/>
    <w:basedOn w:val="DefaultParagraphFont"/>
    <w:link w:val="Footer"/>
    <w:uiPriority w:val="99"/>
    <w:rsid w:val="00463176"/>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2021-01-23T16:10:00Z</cp:lastPrinted>
  <dcterms:created xsi:type="dcterms:W3CDTF">2023-10-02T19:59:00Z</dcterms:created>
  <dcterms:modified xsi:type="dcterms:W3CDTF">2023-10-02T19:59:00Z</dcterms:modified>
</cp:coreProperties>
</file>